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3B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lang w:val="en-US" w:eastAsia="zh-CN"/>
        </w:rPr>
        <w:t>附件1</w:t>
      </w:r>
    </w:p>
    <w:p w14:paraId="51609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eastAsia="仿宋_GB2312" w:cs="Times New Roman"/>
          <w:snapToGrid w:val="0"/>
          <w:spacing w:val="0"/>
          <w:kern w:val="0"/>
          <w:sz w:val="36"/>
          <w:szCs w:val="36"/>
          <w:lang w:val="en-US" w:eastAsia="zh-CN"/>
        </w:rPr>
      </w:pPr>
    </w:p>
    <w:p w14:paraId="286D892D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申请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  <w:lang w:eastAsia="zh-CN"/>
        </w:rPr>
        <w:t>延续或晋升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一级资质评审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  <w:lang w:eastAsia="zh-CN"/>
        </w:rPr>
        <w:t>通过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的</w:t>
      </w:r>
    </w:p>
    <w:p w14:paraId="67649FC7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房地产开发企业名单</w:t>
      </w:r>
    </w:p>
    <w:p w14:paraId="629F4A64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  <w:bookmarkStart w:id="0" w:name="_GoBack"/>
      <w:bookmarkEnd w:id="0"/>
    </w:p>
    <w:p w14:paraId="32E2A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1.杭州西湖房地产集团有限公司</w:t>
      </w:r>
    </w:p>
    <w:p w14:paraId="2EF71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2.上海城建置业发展有限公司</w:t>
      </w:r>
    </w:p>
    <w:p w14:paraId="2BA6A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3.济南高新控股集团有限公司</w:t>
      </w:r>
    </w:p>
    <w:p w14:paraId="4F59A0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4.青岛中铁西海岸投资发展有限公司</w:t>
      </w:r>
    </w:p>
    <w:p w14:paraId="3885D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5.四川省聚麟城镇建设开发集团有限公司</w:t>
      </w:r>
    </w:p>
    <w:p w14:paraId="0993B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6.武汉大桥实业集团有限公司</w:t>
      </w:r>
    </w:p>
    <w:p w14:paraId="33778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7.广东翔顺房地产开发有限公司</w:t>
      </w:r>
    </w:p>
    <w:p w14:paraId="7B537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64A1B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5FDEE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6101E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4CE95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3101A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6D5A9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0D7E5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503EB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2B557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352863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2024-12-02T09:04:55Z</dcterms:created>
  <dc:creator>yanglinyi</dc:creator>
  <cp:lastModifiedBy>tinykerman</cp:lastModifiedBy>
  <dcterms:modified xsi:type="dcterms:W3CDTF">2024-12-02T09:05:09Z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C789455E1F6344A8805647D49DEB029E_12</vt:lpwstr>
  </property>
</Properties>
</file>